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F21FE">
      <w:pPr>
        <w:spacing w:line="360" w:lineRule="auto"/>
        <w:jc w:val="left"/>
        <w:rPr>
          <w:rFonts w:hint="eastAsia"/>
          <w:bCs/>
          <w:szCs w:val="24"/>
          <w:lang w:val="en-US" w:eastAsia="zh-CN"/>
        </w:rPr>
      </w:pPr>
    </w:p>
    <w:p w14:paraId="2E6AEF41">
      <w:pPr>
        <w:spacing w:line="360" w:lineRule="auto"/>
        <w:jc w:val="center"/>
        <w:rPr>
          <w:rFonts w:hint="eastAsia" w:eastAsia="宋体"/>
          <w:b/>
          <w:bCs/>
          <w:sz w:val="44"/>
          <w:szCs w:val="44"/>
          <w:u w:val="none"/>
          <w:lang w:val="en-US" w:eastAsia="zh-CN"/>
        </w:rPr>
      </w:pPr>
      <w:r>
        <w:rPr>
          <w:rFonts w:hint="eastAsia" w:ascii="宋体" w:hAnsi="宋体" w:cs="宋体"/>
          <w:b/>
          <w:bCs/>
          <w:color w:val="auto"/>
          <w:sz w:val="44"/>
          <w:szCs w:val="44"/>
          <w:u w:val="none"/>
          <w:lang w:val="en-US" w:eastAsia="zh"/>
        </w:rPr>
        <w:t>石家庄市中医院（光华院区）危废处置</w:t>
      </w:r>
      <w:r>
        <w:rPr>
          <w:rFonts w:hint="eastAsia" w:ascii="宋体" w:hAnsi="宋体" w:cs="宋体"/>
          <w:b/>
          <w:bCs/>
          <w:color w:val="auto"/>
          <w:sz w:val="44"/>
          <w:szCs w:val="44"/>
          <w:u w:val="none"/>
          <w:lang w:val="en-US" w:eastAsia="zh-CN"/>
        </w:rPr>
        <w:t>服务技术参数及报价单</w:t>
      </w:r>
    </w:p>
    <w:p w14:paraId="4DB25A7C">
      <w:pPr>
        <w:pStyle w:val="6"/>
        <w:spacing w:line="240" w:lineRule="auto"/>
        <w:ind w:firstLine="640"/>
        <w:rPr>
          <w:rFonts w:hint="eastAsia" w:ascii="宋体" w:hAnsi="宋体" w:eastAsia="宋体" w:cs="宋体"/>
          <w:snapToGrid/>
          <w:sz w:val="24"/>
          <w:szCs w:val="24"/>
        </w:rPr>
      </w:pPr>
    </w:p>
    <w:p w14:paraId="32924FEE">
      <w:pPr>
        <w:pStyle w:val="6"/>
        <w:spacing w:line="240" w:lineRule="auto"/>
        <w:ind w:left="0" w:leftChars="0" w:firstLine="0" w:firstLineChars="0"/>
        <w:rPr>
          <w:rFonts w:hint="eastAsia" w:ascii="宋体" w:hAnsi="宋体" w:eastAsia="宋体" w:cs="宋体"/>
          <w:b/>
          <w:bCs/>
          <w:snapToGrid/>
          <w:sz w:val="28"/>
          <w:szCs w:val="28"/>
          <w:lang w:eastAsia="zh-CN"/>
        </w:rPr>
      </w:pPr>
      <w:r>
        <w:rPr>
          <w:rFonts w:hint="eastAsia" w:ascii="宋体" w:hAnsi="宋体" w:cs="宋体"/>
          <w:b/>
          <w:bCs/>
          <w:snapToGrid/>
          <w:sz w:val="28"/>
          <w:szCs w:val="28"/>
          <w:lang w:eastAsia="zh-CN"/>
        </w:rPr>
        <w:t>一、服务技术要求</w:t>
      </w:r>
    </w:p>
    <w:p w14:paraId="5F9E669D">
      <w:pPr>
        <w:pStyle w:val="6"/>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sz w:val="28"/>
          <w:szCs w:val="28"/>
        </w:rPr>
      </w:pPr>
      <w:r>
        <w:rPr>
          <w:rFonts w:hint="eastAsia" w:ascii="宋体" w:hAnsi="宋体" w:eastAsia="宋体" w:cs="宋体"/>
          <w:snapToGrid/>
          <w:sz w:val="28"/>
          <w:szCs w:val="28"/>
        </w:rPr>
        <w:t>本项目</w:t>
      </w:r>
      <w:r>
        <w:rPr>
          <w:rFonts w:hint="eastAsia" w:ascii="宋体" w:hAnsi="宋体" w:cs="宋体"/>
          <w:snapToGrid/>
          <w:sz w:val="28"/>
          <w:szCs w:val="28"/>
          <w:lang w:eastAsia="zh-CN"/>
        </w:rPr>
        <w:t>为</w:t>
      </w:r>
      <w:r>
        <w:rPr>
          <w:rFonts w:hint="eastAsia" w:ascii="宋体" w:hAnsi="宋体" w:eastAsia="宋体" w:cs="宋体"/>
          <w:snapToGrid/>
          <w:sz w:val="28"/>
          <w:szCs w:val="28"/>
        </w:rPr>
        <w:t>危险废物的收集、运输、接收和暂存</w:t>
      </w:r>
      <w:r>
        <w:rPr>
          <w:rFonts w:hint="eastAsia" w:ascii="宋体" w:hAnsi="宋体" w:cs="宋体"/>
          <w:snapToGrid/>
          <w:sz w:val="28"/>
          <w:szCs w:val="28"/>
          <w:lang w:eastAsia="zh-CN"/>
        </w:rPr>
        <w:t>服务，</w:t>
      </w:r>
      <w:r>
        <w:rPr>
          <w:rFonts w:hint="eastAsia" w:ascii="宋体" w:hAnsi="宋体" w:eastAsia="宋体" w:cs="宋体"/>
          <w:snapToGrid/>
          <w:sz w:val="28"/>
          <w:szCs w:val="28"/>
        </w:rPr>
        <w:t>执行《危险废物收集 贮存 运输技术规范》(HJ 2025-2012)。</w:t>
      </w:r>
    </w:p>
    <w:p w14:paraId="1BB58FED">
      <w:pPr>
        <w:pStyle w:val="7"/>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u w:val="none"/>
          <w:lang w:eastAsia="zh-CN"/>
        </w:rPr>
        <w:t>投标单位需</w:t>
      </w:r>
      <w:r>
        <w:rPr>
          <w:rFonts w:hint="eastAsia" w:ascii="宋体" w:hAnsi="宋体" w:eastAsia="宋体" w:cs="宋体"/>
          <w:sz w:val="28"/>
          <w:szCs w:val="28"/>
          <w:u w:val="none"/>
        </w:rPr>
        <w:t>对</w:t>
      </w:r>
      <w:r>
        <w:rPr>
          <w:rFonts w:hint="eastAsia" w:ascii="宋体" w:hAnsi="宋体" w:eastAsia="宋体" w:cs="宋体"/>
          <w:sz w:val="28"/>
          <w:szCs w:val="28"/>
          <w:u w:val="none"/>
          <w:lang w:eastAsia="zh-CN"/>
        </w:rPr>
        <w:t>医院</w:t>
      </w:r>
      <w:r>
        <w:rPr>
          <w:rFonts w:hint="eastAsia" w:ascii="宋体" w:hAnsi="宋体" w:eastAsia="宋体" w:cs="宋体"/>
          <w:sz w:val="28"/>
          <w:szCs w:val="28"/>
          <w:u w:val="none"/>
        </w:rPr>
        <w:t>产生的危险废弃物（</w:t>
      </w:r>
      <w:r>
        <w:rPr>
          <w:rFonts w:hint="eastAsia" w:ascii="宋体" w:hAnsi="宋体" w:eastAsia="宋体" w:cs="宋体"/>
          <w:bCs/>
          <w:sz w:val="28"/>
          <w:szCs w:val="28"/>
          <w:lang w:val="en-US" w:eastAsia="zh-CN"/>
        </w:rPr>
        <w:t>废灯管、</w:t>
      </w:r>
      <w:r>
        <w:rPr>
          <w:rFonts w:hint="eastAsia" w:ascii="宋体" w:hAnsi="宋体" w:eastAsia="宋体" w:cs="宋体"/>
          <w:bCs/>
          <w:color w:val="auto"/>
          <w:kern w:val="2"/>
          <w:sz w:val="28"/>
          <w:szCs w:val="28"/>
          <w:highlight w:val="none"/>
          <w:lang w:val="en-US" w:eastAsia="zh-CN"/>
        </w:rPr>
        <w:t>污泥、废活性炭、</w:t>
      </w:r>
      <w:r>
        <w:rPr>
          <w:rFonts w:hint="eastAsia" w:ascii="宋体" w:hAnsi="宋体" w:eastAsia="宋体" w:cs="宋体"/>
          <w:i w:val="0"/>
          <w:iCs w:val="0"/>
          <w:caps w:val="0"/>
          <w:color w:val="000000"/>
          <w:spacing w:val="0"/>
          <w:sz w:val="28"/>
          <w:szCs w:val="28"/>
          <w:shd w:val="clear" w:color="auto" w:fill="FFFFFF"/>
        </w:rPr>
        <w:t>二甲苯容器</w:t>
      </w:r>
      <w:r>
        <w:rPr>
          <w:rFonts w:hint="eastAsia" w:ascii="宋体" w:hAnsi="宋体" w:eastAsia="宋体" w:cs="宋体"/>
          <w:i w:val="0"/>
          <w:iCs w:val="0"/>
          <w:caps w:val="0"/>
          <w:color w:val="000000"/>
          <w:spacing w:val="0"/>
          <w:sz w:val="28"/>
          <w:szCs w:val="28"/>
          <w:shd w:val="clear" w:color="auto" w:fill="FFFFFF"/>
          <w:lang w:eastAsia="zh-CN"/>
        </w:rPr>
        <w:t>、</w:t>
      </w:r>
      <w:r>
        <w:rPr>
          <w:rFonts w:hint="eastAsia" w:ascii="宋体" w:hAnsi="宋体" w:eastAsia="宋体" w:cs="宋体"/>
          <w:i w:val="0"/>
          <w:iCs w:val="0"/>
          <w:caps w:val="0"/>
          <w:color w:val="000000"/>
          <w:spacing w:val="0"/>
          <w:sz w:val="28"/>
          <w:szCs w:val="28"/>
          <w:shd w:val="clear" w:color="auto" w:fill="FFFFFF"/>
        </w:rPr>
        <w:t>格栅废渣</w:t>
      </w:r>
      <w:r>
        <w:rPr>
          <w:rFonts w:hint="eastAsia" w:ascii="宋体" w:hAnsi="宋体" w:eastAsia="宋体" w:cs="宋体"/>
          <w:i w:val="0"/>
          <w:iCs w:val="0"/>
          <w:caps w:val="0"/>
          <w:color w:val="000000"/>
          <w:spacing w:val="0"/>
          <w:sz w:val="28"/>
          <w:szCs w:val="28"/>
          <w:shd w:val="clear" w:color="auto" w:fill="FFFFFF"/>
          <w:lang w:eastAsia="zh-CN"/>
        </w:rPr>
        <w:t>、</w:t>
      </w:r>
      <w:r>
        <w:rPr>
          <w:rFonts w:hint="eastAsia" w:ascii="宋体" w:hAnsi="宋体" w:eastAsia="宋体" w:cs="宋体"/>
          <w:i w:val="0"/>
          <w:iCs w:val="0"/>
          <w:color w:val="000000"/>
          <w:kern w:val="0"/>
          <w:sz w:val="28"/>
          <w:szCs w:val="28"/>
          <w:u w:val="none"/>
          <w:lang w:val="en-US" w:eastAsia="zh-CN" w:bidi="ar"/>
        </w:rPr>
        <w:t>COD、氨氮在线设备废液、实验室废液、</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实验室废物</w:t>
      </w:r>
      <w:r>
        <w:rPr>
          <w:rFonts w:hint="eastAsia" w:ascii="宋体" w:hAnsi="宋体" w:eastAsia="宋体" w:cs="宋体"/>
          <w:i w:val="0"/>
          <w:iCs w:val="0"/>
          <w:color w:val="FF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eastAsia="宋体" w:cs="宋体"/>
          <w:sz w:val="28"/>
          <w:szCs w:val="28"/>
          <w:u w:val="none"/>
        </w:rPr>
        <w:t>进行合法合规集中回收，并进行合法合规处置，达到保护资源环境、提高经济效益和社会效益的目的。</w:t>
      </w:r>
      <w:r>
        <w:rPr>
          <w:rFonts w:hint="eastAsia" w:ascii="宋体" w:hAnsi="宋体" w:eastAsia="宋体" w:cs="宋体"/>
          <w:sz w:val="28"/>
          <w:szCs w:val="28"/>
          <w:u w:val="none"/>
          <w:lang w:eastAsia="zh-CN"/>
        </w:rPr>
        <w:t>承接方</w:t>
      </w:r>
      <w:r>
        <w:rPr>
          <w:rFonts w:hint="eastAsia" w:ascii="宋体" w:hAnsi="宋体" w:eastAsia="宋体" w:cs="宋体"/>
          <w:sz w:val="28"/>
          <w:szCs w:val="28"/>
          <w:u w:val="none"/>
        </w:rPr>
        <w:t>在服务期内为</w:t>
      </w:r>
      <w:r>
        <w:rPr>
          <w:rFonts w:hint="eastAsia" w:ascii="宋体" w:hAnsi="宋体" w:eastAsia="宋体" w:cs="宋体"/>
          <w:sz w:val="28"/>
          <w:szCs w:val="28"/>
          <w:u w:val="none"/>
          <w:lang w:eastAsia="zh-CN"/>
        </w:rPr>
        <w:t>医院</w:t>
      </w:r>
      <w:r>
        <w:rPr>
          <w:rFonts w:hint="eastAsia" w:ascii="宋体" w:hAnsi="宋体" w:eastAsia="宋体" w:cs="宋体"/>
          <w:sz w:val="28"/>
          <w:szCs w:val="28"/>
          <w:u w:val="none"/>
        </w:rPr>
        <w:t>提供全时段线上危险废物相关的技术指导</w:t>
      </w:r>
      <w:r>
        <w:rPr>
          <w:rFonts w:hint="eastAsia" w:ascii="宋体" w:hAnsi="宋体" w:eastAsia="宋体" w:cs="宋体"/>
          <w:sz w:val="28"/>
          <w:szCs w:val="28"/>
          <w:u w:val="none"/>
          <w:lang w:eastAsia="zh-CN"/>
        </w:rPr>
        <w:t>，且</w:t>
      </w:r>
      <w:r>
        <w:rPr>
          <w:rFonts w:hint="eastAsia" w:ascii="宋体" w:hAnsi="宋体" w:eastAsia="宋体" w:cs="宋体"/>
          <w:sz w:val="28"/>
          <w:szCs w:val="28"/>
          <w:lang w:eastAsia="zh-CN"/>
        </w:rPr>
        <w:t>投标单位需在接到转运通知后</w:t>
      </w:r>
      <w:r>
        <w:rPr>
          <w:rFonts w:hint="eastAsia" w:ascii="宋体" w:hAnsi="宋体" w:eastAsia="宋体" w:cs="宋体"/>
          <w:sz w:val="28"/>
          <w:szCs w:val="28"/>
          <w:lang w:val="en-US" w:eastAsia="zh-CN"/>
        </w:rPr>
        <w:t>24小时内安排完成转运处置。</w:t>
      </w:r>
      <w:r>
        <w:rPr>
          <w:rFonts w:hint="eastAsia" w:ascii="宋体" w:hAnsi="宋体" w:eastAsia="宋体" w:cs="宋体"/>
          <w:sz w:val="28"/>
          <w:szCs w:val="28"/>
        </w:rPr>
        <w:t>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全规章制度及操作流程，确保该过程的安全、可靠。</w:t>
      </w:r>
    </w:p>
    <w:p w14:paraId="079C93B3">
      <w:pPr>
        <w:pStyle w:val="7"/>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bCs/>
          <w:szCs w:val="24"/>
          <w:lang w:val="en-US" w:eastAsia="zh-CN"/>
        </w:rPr>
      </w:pPr>
      <w:r>
        <w:rPr>
          <w:rFonts w:hint="eastAsia" w:ascii="宋体" w:hAnsi="宋体" w:eastAsia="宋体" w:cs="宋体"/>
          <w:sz w:val="28"/>
          <w:szCs w:val="28"/>
          <w:lang w:val="en-US" w:eastAsia="zh-CN"/>
        </w:rPr>
        <w:t>本项目计划服务期限为2年，投标单位以24个月运营服务期进行投标报价。服务期内，如因不可抗力（自然灾害、政策原因等）或甲方业务发生重大变更导致服务无法继续开展的，甲方可提前终止服务，双方互不承担违约责任。</w:t>
      </w:r>
    </w:p>
    <w:p w14:paraId="00F99660">
      <w:pPr>
        <w:spacing w:line="360" w:lineRule="auto"/>
        <w:jc w:val="both"/>
        <w:rPr>
          <w:rFonts w:hint="eastAsia"/>
          <w:b/>
          <w:bCs w:val="0"/>
          <w:sz w:val="28"/>
          <w:szCs w:val="28"/>
          <w:lang w:val="en-US" w:eastAsia="zh-CN"/>
        </w:rPr>
      </w:pPr>
      <w:r>
        <w:rPr>
          <w:rFonts w:hint="eastAsia"/>
          <w:b/>
          <w:bCs w:val="0"/>
          <w:sz w:val="28"/>
          <w:szCs w:val="28"/>
          <w:lang w:val="en-US" w:eastAsia="zh-CN"/>
        </w:rPr>
        <w:t>二、处置类型参数及报价</w:t>
      </w:r>
    </w:p>
    <w:tbl>
      <w:tblPr>
        <w:tblStyle w:val="10"/>
        <w:tblpPr w:leftFromText="180" w:rightFromText="180" w:vertAnchor="text" w:horzAnchor="page" w:tblpX="1335" w:tblpY="41"/>
        <w:tblOverlap w:val="never"/>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786"/>
        <w:gridCol w:w="920"/>
        <w:gridCol w:w="1454"/>
        <w:gridCol w:w="2480"/>
        <w:gridCol w:w="2362"/>
      </w:tblGrid>
      <w:tr w14:paraId="13E1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94" w:type="dxa"/>
            <w:noWrap w:val="0"/>
            <w:vAlign w:val="center"/>
          </w:tcPr>
          <w:p w14:paraId="0E52078A">
            <w:pPr>
              <w:spacing w:line="360" w:lineRule="auto"/>
              <w:jc w:val="center"/>
              <w:rPr>
                <w:rFonts w:hint="eastAsia"/>
                <w:bCs/>
                <w:szCs w:val="24"/>
                <w:lang w:val="en-US" w:eastAsia="zh-CN"/>
              </w:rPr>
            </w:pPr>
            <w:r>
              <w:rPr>
                <w:rFonts w:hint="eastAsia"/>
                <w:bCs/>
                <w:szCs w:val="24"/>
                <w:lang w:val="en-US" w:eastAsia="zh-CN"/>
              </w:rPr>
              <w:t>序号</w:t>
            </w:r>
          </w:p>
        </w:tc>
        <w:tc>
          <w:tcPr>
            <w:tcW w:w="1786" w:type="dxa"/>
            <w:noWrap w:val="0"/>
            <w:vAlign w:val="center"/>
          </w:tcPr>
          <w:p w14:paraId="4CD556C5">
            <w:pPr>
              <w:spacing w:line="360" w:lineRule="auto"/>
              <w:jc w:val="center"/>
              <w:rPr>
                <w:rFonts w:hint="eastAsia"/>
                <w:bCs/>
                <w:szCs w:val="24"/>
                <w:lang w:val="en-US" w:eastAsia="zh-CN"/>
              </w:rPr>
            </w:pPr>
            <w:r>
              <w:rPr>
                <w:rFonts w:hint="eastAsia"/>
                <w:bCs/>
                <w:szCs w:val="24"/>
                <w:lang w:val="en-US" w:eastAsia="zh-CN"/>
              </w:rPr>
              <w:t>废物名称</w:t>
            </w:r>
          </w:p>
        </w:tc>
        <w:tc>
          <w:tcPr>
            <w:tcW w:w="920" w:type="dxa"/>
            <w:noWrap w:val="0"/>
            <w:vAlign w:val="center"/>
          </w:tcPr>
          <w:p w14:paraId="6A4EBAC5">
            <w:pPr>
              <w:spacing w:line="360" w:lineRule="auto"/>
              <w:jc w:val="center"/>
              <w:rPr>
                <w:rFonts w:hint="eastAsia"/>
                <w:bCs/>
                <w:szCs w:val="24"/>
                <w:lang w:val="en-US" w:eastAsia="zh-CN"/>
              </w:rPr>
            </w:pPr>
            <w:r>
              <w:rPr>
                <w:rFonts w:hint="eastAsia"/>
                <w:bCs/>
                <w:szCs w:val="24"/>
                <w:lang w:val="en-US" w:eastAsia="zh-CN"/>
              </w:rPr>
              <w:t>编号</w:t>
            </w:r>
          </w:p>
        </w:tc>
        <w:tc>
          <w:tcPr>
            <w:tcW w:w="1454" w:type="dxa"/>
            <w:noWrap w:val="0"/>
            <w:vAlign w:val="center"/>
          </w:tcPr>
          <w:p w14:paraId="6FD166C5">
            <w:pPr>
              <w:spacing w:line="360" w:lineRule="auto"/>
              <w:jc w:val="center"/>
              <w:rPr>
                <w:rFonts w:hint="eastAsia"/>
                <w:bCs/>
                <w:szCs w:val="24"/>
                <w:lang w:val="en-US" w:eastAsia="zh-CN"/>
              </w:rPr>
            </w:pPr>
            <w:r>
              <w:rPr>
                <w:rFonts w:hint="eastAsia"/>
                <w:bCs/>
                <w:szCs w:val="24"/>
                <w:lang w:val="en-US" w:eastAsia="zh-CN"/>
              </w:rPr>
              <w:t>废物代码</w:t>
            </w:r>
          </w:p>
        </w:tc>
        <w:tc>
          <w:tcPr>
            <w:tcW w:w="2480" w:type="dxa"/>
            <w:noWrap w:val="0"/>
            <w:vAlign w:val="center"/>
          </w:tcPr>
          <w:p w14:paraId="16944935">
            <w:pPr>
              <w:spacing w:line="360" w:lineRule="auto"/>
              <w:jc w:val="center"/>
              <w:rPr>
                <w:rFonts w:hint="default" w:eastAsia="宋体"/>
                <w:bCs/>
                <w:szCs w:val="24"/>
                <w:lang w:val="en-US" w:eastAsia="zh-CN"/>
              </w:rPr>
            </w:pPr>
            <w:r>
              <w:rPr>
                <w:rFonts w:hint="eastAsia"/>
                <w:bCs/>
                <w:szCs w:val="24"/>
                <w:lang w:val="en-US" w:eastAsia="zh-CN"/>
              </w:rPr>
              <w:t>预估年处置量(吨/年)</w:t>
            </w:r>
          </w:p>
        </w:tc>
        <w:tc>
          <w:tcPr>
            <w:tcW w:w="2362" w:type="dxa"/>
            <w:noWrap w:val="0"/>
            <w:vAlign w:val="center"/>
          </w:tcPr>
          <w:p w14:paraId="468C447B">
            <w:pPr>
              <w:spacing w:line="360" w:lineRule="auto"/>
              <w:jc w:val="center"/>
              <w:rPr>
                <w:rFonts w:hint="eastAsia"/>
                <w:bCs/>
                <w:szCs w:val="24"/>
                <w:lang w:val="en-US" w:eastAsia="zh-CN"/>
              </w:rPr>
            </w:pPr>
            <w:r>
              <w:rPr>
                <w:rFonts w:hint="eastAsia"/>
                <w:bCs/>
                <w:szCs w:val="24"/>
                <w:lang w:val="en-US" w:eastAsia="zh-CN"/>
              </w:rPr>
              <w:t>含税单价（元/吨//年）</w:t>
            </w:r>
          </w:p>
        </w:tc>
      </w:tr>
      <w:tr w14:paraId="3793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94" w:type="dxa"/>
            <w:noWrap w:val="0"/>
            <w:vAlign w:val="center"/>
          </w:tcPr>
          <w:p w14:paraId="5F4CCFEA">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w:t>
            </w:r>
          </w:p>
        </w:tc>
        <w:tc>
          <w:tcPr>
            <w:tcW w:w="1786" w:type="dxa"/>
            <w:noWrap w:val="0"/>
            <w:vAlign w:val="center"/>
          </w:tcPr>
          <w:p w14:paraId="72AF296C">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废灯管</w:t>
            </w:r>
          </w:p>
        </w:tc>
        <w:tc>
          <w:tcPr>
            <w:tcW w:w="920" w:type="dxa"/>
            <w:noWrap w:val="0"/>
            <w:vAlign w:val="center"/>
          </w:tcPr>
          <w:p w14:paraId="09B2006E">
            <w:pPr>
              <w:spacing w:line="360" w:lineRule="auto"/>
              <w:jc w:val="center"/>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bCs/>
                <w:sz w:val="24"/>
                <w:szCs w:val="24"/>
                <w:highlight w:val="none"/>
                <w:lang w:val="en-US" w:eastAsia="zh-CN"/>
              </w:rPr>
              <w:t>HW29</w:t>
            </w:r>
          </w:p>
        </w:tc>
        <w:tc>
          <w:tcPr>
            <w:tcW w:w="1454" w:type="dxa"/>
            <w:noWrap w:val="0"/>
            <w:vAlign w:val="center"/>
          </w:tcPr>
          <w:p w14:paraId="6E51AD46">
            <w:pPr>
              <w:spacing w:line="360" w:lineRule="auto"/>
              <w:jc w:val="center"/>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bCs/>
                <w:sz w:val="24"/>
                <w:szCs w:val="24"/>
                <w:highlight w:val="none"/>
                <w:lang w:val="en-US" w:eastAsia="zh-CN"/>
              </w:rPr>
              <w:t>900-023-29</w:t>
            </w:r>
          </w:p>
        </w:tc>
        <w:tc>
          <w:tcPr>
            <w:tcW w:w="2480" w:type="dxa"/>
            <w:noWrap w:val="0"/>
            <w:vAlign w:val="center"/>
          </w:tcPr>
          <w:p w14:paraId="6B726D4C">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5公斤</w:t>
            </w:r>
          </w:p>
        </w:tc>
        <w:tc>
          <w:tcPr>
            <w:tcW w:w="2362" w:type="dxa"/>
            <w:noWrap w:val="0"/>
            <w:vAlign w:val="center"/>
          </w:tcPr>
          <w:p w14:paraId="487F26D4">
            <w:pPr>
              <w:spacing w:line="360" w:lineRule="auto"/>
              <w:jc w:val="center"/>
              <w:rPr>
                <w:rFonts w:hint="default" w:ascii="宋体" w:hAnsi="宋体" w:eastAsia="宋体" w:cs="宋体"/>
                <w:bCs/>
                <w:sz w:val="24"/>
                <w:szCs w:val="24"/>
                <w:highlight w:val="none"/>
                <w:lang w:val="en-US" w:eastAsia="zh-CN"/>
              </w:rPr>
            </w:pPr>
          </w:p>
        </w:tc>
      </w:tr>
      <w:tr w14:paraId="6824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94" w:type="dxa"/>
            <w:noWrap w:val="0"/>
            <w:vAlign w:val="center"/>
          </w:tcPr>
          <w:p w14:paraId="4C4C67C3">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2</w:t>
            </w:r>
          </w:p>
        </w:tc>
        <w:tc>
          <w:tcPr>
            <w:tcW w:w="1786" w:type="dxa"/>
            <w:noWrap w:val="0"/>
            <w:vAlign w:val="center"/>
          </w:tcPr>
          <w:p w14:paraId="2AE321F3">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rPr>
              <w:t>污泥</w:t>
            </w:r>
          </w:p>
        </w:tc>
        <w:tc>
          <w:tcPr>
            <w:tcW w:w="920" w:type="dxa"/>
            <w:noWrap w:val="0"/>
            <w:vAlign w:val="center"/>
          </w:tcPr>
          <w:p w14:paraId="04CD200A">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20E21266">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772-006-49</w:t>
            </w:r>
          </w:p>
        </w:tc>
        <w:tc>
          <w:tcPr>
            <w:tcW w:w="2480" w:type="dxa"/>
            <w:noWrap w:val="0"/>
            <w:vAlign w:val="center"/>
          </w:tcPr>
          <w:p w14:paraId="55154BC7">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0.08</w:t>
            </w:r>
          </w:p>
        </w:tc>
        <w:tc>
          <w:tcPr>
            <w:tcW w:w="2362" w:type="dxa"/>
            <w:noWrap w:val="0"/>
            <w:vAlign w:val="center"/>
          </w:tcPr>
          <w:p w14:paraId="2190FA3A">
            <w:pPr>
              <w:spacing w:line="360" w:lineRule="auto"/>
              <w:jc w:val="center"/>
              <w:rPr>
                <w:rFonts w:hint="default" w:ascii="宋体" w:hAnsi="宋体" w:eastAsia="宋体" w:cs="宋体"/>
                <w:bCs/>
                <w:sz w:val="24"/>
                <w:szCs w:val="24"/>
                <w:highlight w:val="none"/>
                <w:lang w:val="en-US" w:eastAsia="zh-CN"/>
              </w:rPr>
            </w:pPr>
          </w:p>
        </w:tc>
      </w:tr>
      <w:tr w14:paraId="6929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94" w:type="dxa"/>
            <w:noWrap w:val="0"/>
            <w:vAlign w:val="center"/>
          </w:tcPr>
          <w:p w14:paraId="52A6FA70">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3</w:t>
            </w:r>
          </w:p>
        </w:tc>
        <w:tc>
          <w:tcPr>
            <w:tcW w:w="1786" w:type="dxa"/>
            <w:noWrap w:val="0"/>
            <w:vAlign w:val="center"/>
          </w:tcPr>
          <w:p w14:paraId="7E264229">
            <w:pPr>
              <w:spacing w:line="360" w:lineRule="auto"/>
              <w:jc w:val="center"/>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废活性炭</w:t>
            </w:r>
          </w:p>
        </w:tc>
        <w:tc>
          <w:tcPr>
            <w:tcW w:w="920" w:type="dxa"/>
            <w:noWrap w:val="0"/>
            <w:vAlign w:val="center"/>
          </w:tcPr>
          <w:p w14:paraId="215F8C29">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55822934">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900-039-49</w:t>
            </w:r>
          </w:p>
        </w:tc>
        <w:tc>
          <w:tcPr>
            <w:tcW w:w="2480" w:type="dxa"/>
            <w:noWrap w:val="0"/>
            <w:vAlign w:val="center"/>
          </w:tcPr>
          <w:p w14:paraId="09D32351">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0.15</w:t>
            </w:r>
          </w:p>
        </w:tc>
        <w:tc>
          <w:tcPr>
            <w:tcW w:w="2362" w:type="dxa"/>
            <w:noWrap w:val="0"/>
            <w:vAlign w:val="center"/>
          </w:tcPr>
          <w:p w14:paraId="07F371E7">
            <w:pPr>
              <w:spacing w:line="360" w:lineRule="auto"/>
              <w:jc w:val="center"/>
              <w:rPr>
                <w:rFonts w:hint="default" w:ascii="宋体" w:hAnsi="宋体" w:eastAsia="宋体" w:cs="宋体"/>
                <w:bCs/>
                <w:sz w:val="24"/>
                <w:szCs w:val="24"/>
                <w:highlight w:val="none"/>
                <w:lang w:val="en-US" w:eastAsia="zh-CN"/>
              </w:rPr>
            </w:pPr>
          </w:p>
        </w:tc>
      </w:tr>
      <w:tr w14:paraId="68D0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494" w:type="dxa"/>
            <w:noWrap w:val="0"/>
            <w:vAlign w:val="center"/>
          </w:tcPr>
          <w:p w14:paraId="17C96A41">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4</w:t>
            </w:r>
          </w:p>
        </w:tc>
        <w:tc>
          <w:tcPr>
            <w:tcW w:w="1786" w:type="dxa"/>
            <w:noWrap w:val="0"/>
            <w:vAlign w:val="center"/>
          </w:tcPr>
          <w:p w14:paraId="285993A5">
            <w:pPr>
              <w:spacing w:line="360" w:lineRule="auto"/>
              <w:jc w:val="center"/>
              <w:rPr>
                <w:rFonts w:hint="eastAsia" w:ascii="宋体" w:hAnsi="宋体" w:eastAsia="宋体" w:cs="宋体"/>
                <w:bCs/>
                <w:color w:val="auto"/>
                <w:kern w:val="2"/>
                <w:sz w:val="24"/>
                <w:szCs w:val="24"/>
                <w:highlight w:val="none"/>
                <w:lang w:val="en-US" w:eastAsia="zh-CN"/>
              </w:rPr>
            </w:pPr>
            <w:r>
              <w:rPr>
                <w:rFonts w:hint="eastAsia" w:ascii="宋体" w:hAnsi="宋体" w:eastAsia="宋体" w:cs="宋体"/>
                <w:i w:val="0"/>
                <w:iCs w:val="0"/>
                <w:caps w:val="0"/>
                <w:color w:val="000000"/>
                <w:spacing w:val="0"/>
                <w:sz w:val="24"/>
                <w:szCs w:val="24"/>
                <w:highlight w:val="none"/>
                <w:shd w:val="clear" w:color="auto" w:fill="FFFFFF"/>
              </w:rPr>
              <w:t>二甲苯容器</w:t>
            </w:r>
          </w:p>
        </w:tc>
        <w:tc>
          <w:tcPr>
            <w:tcW w:w="920" w:type="dxa"/>
            <w:noWrap w:val="0"/>
            <w:vAlign w:val="center"/>
          </w:tcPr>
          <w:p w14:paraId="7FA3C2C8">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60A2273F">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900-047-49</w:t>
            </w:r>
          </w:p>
        </w:tc>
        <w:tc>
          <w:tcPr>
            <w:tcW w:w="2480" w:type="dxa"/>
            <w:noWrap w:val="0"/>
            <w:vAlign w:val="center"/>
          </w:tcPr>
          <w:p w14:paraId="1FA58888">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color w:val="auto"/>
                <w:sz w:val="24"/>
                <w:szCs w:val="24"/>
                <w:highlight w:val="none"/>
                <w:lang w:val="en-US" w:eastAsia="zh-CN"/>
              </w:rPr>
              <w:t>0.09</w:t>
            </w:r>
          </w:p>
        </w:tc>
        <w:tc>
          <w:tcPr>
            <w:tcW w:w="2362" w:type="dxa"/>
            <w:noWrap w:val="0"/>
            <w:vAlign w:val="center"/>
          </w:tcPr>
          <w:p w14:paraId="3ADB3AEB">
            <w:pPr>
              <w:spacing w:line="360" w:lineRule="auto"/>
              <w:jc w:val="center"/>
              <w:rPr>
                <w:rFonts w:hint="default" w:ascii="宋体" w:hAnsi="宋体" w:eastAsia="宋体" w:cs="宋体"/>
                <w:bCs/>
                <w:sz w:val="24"/>
                <w:szCs w:val="24"/>
                <w:highlight w:val="none"/>
                <w:lang w:val="en-US" w:eastAsia="zh-CN"/>
              </w:rPr>
            </w:pPr>
          </w:p>
        </w:tc>
      </w:tr>
      <w:tr w14:paraId="33D3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94" w:type="dxa"/>
            <w:noWrap w:val="0"/>
            <w:vAlign w:val="center"/>
          </w:tcPr>
          <w:p w14:paraId="2B4E4A23">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5</w:t>
            </w:r>
          </w:p>
        </w:tc>
        <w:tc>
          <w:tcPr>
            <w:tcW w:w="1786" w:type="dxa"/>
            <w:noWrap w:val="0"/>
            <w:vAlign w:val="center"/>
          </w:tcPr>
          <w:p w14:paraId="393CB951">
            <w:pPr>
              <w:spacing w:line="360" w:lineRule="auto"/>
              <w:jc w:val="center"/>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格栅废渣</w:t>
            </w:r>
          </w:p>
        </w:tc>
        <w:tc>
          <w:tcPr>
            <w:tcW w:w="920" w:type="dxa"/>
            <w:noWrap w:val="0"/>
            <w:vAlign w:val="center"/>
          </w:tcPr>
          <w:p w14:paraId="6355DFDE">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0E88ED71">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900-041-49</w:t>
            </w:r>
          </w:p>
        </w:tc>
        <w:tc>
          <w:tcPr>
            <w:tcW w:w="2480" w:type="dxa"/>
            <w:noWrap w:val="0"/>
            <w:vAlign w:val="center"/>
          </w:tcPr>
          <w:p w14:paraId="3F6334ED">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color w:val="000000" w:themeColor="text1"/>
                <w:sz w:val="24"/>
                <w:szCs w:val="24"/>
                <w:highlight w:val="none"/>
                <w:lang w:val="en-US" w:eastAsia="zh-CN"/>
                <w14:textFill>
                  <w14:solidFill>
                    <w14:schemeClr w14:val="tx1"/>
                  </w14:solidFill>
                </w14:textFill>
              </w:rPr>
              <w:t>0.06</w:t>
            </w:r>
          </w:p>
        </w:tc>
        <w:tc>
          <w:tcPr>
            <w:tcW w:w="2362" w:type="dxa"/>
            <w:noWrap w:val="0"/>
            <w:vAlign w:val="center"/>
          </w:tcPr>
          <w:p w14:paraId="4C49A4BA">
            <w:pPr>
              <w:spacing w:line="360" w:lineRule="auto"/>
              <w:jc w:val="center"/>
              <w:rPr>
                <w:rFonts w:hint="default" w:ascii="宋体" w:hAnsi="宋体" w:eastAsia="宋体" w:cs="宋体"/>
                <w:bCs/>
                <w:sz w:val="24"/>
                <w:szCs w:val="24"/>
                <w:highlight w:val="none"/>
                <w:lang w:val="en-US" w:eastAsia="zh-CN"/>
              </w:rPr>
            </w:pPr>
          </w:p>
        </w:tc>
      </w:tr>
      <w:tr w14:paraId="1E19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494" w:type="dxa"/>
            <w:noWrap w:val="0"/>
            <w:vAlign w:val="center"/>
          </w:tcPr>
          <w:p w14:paraId="7B6CB06D">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6</w:t>
            </w:r>
          </w:p>
        </w:tc>
        <w:tc>
          <w:tcPr>
            <w:tcW w:w="1786" w:type="dxa"/>
            <w:noWrap w:val="0"/>
            <w:vAlign w:val="center"/>
          </w:tcPr>
          <w:p w14:paraId="2641E42D">
            <w:pPr>
              <w:spacing w:line="360" w:lineRule="auto"/>
              <w:jc w:val="center"/>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olor w:val="000000"/>
                <w:kern w:val="0"/>
                <w:sz w:val="24"/>
                <w:szCs w:val="24"/>
                <w:highlight w:val="none"/>
                <w:u w:val="none"/>
                <w:lang w:val="en-US" w:eastAsia="zh-CN" w:bidi="ar"/>
              </w:rPr>
              <w:t xml:space="preserve">COD、氨氮在线设备废液 </w:t>
            </w:r>
          </w:p>
        </w:tc>
        <w:tc>
          <w:tcPr>
            <w:tcW w:w="920" w:type="dxa"/>
            <w:noWrap w:val="0"/>
            <w:vAlign w:val="center"/>
          </w:tcPr>
          <w:p w14:paraId="058F8D5E">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7D67B4BD">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900-047-49</w:t>
            </w:r>
          </w:p>
        </w:tc>
        <w:tc>
          <w:tcPr>
            <w:tcW w:w="2480" w:type="dxa"/>
            <w:noWrap w:val="0"/>
            <w:vAlign w:val="center"/>
          </w:tcPr>
          <w:p w14:paraId="1FE05419">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color w:val="auto"/>
                <w:sz w:val="24"/>
                <w:szCs w:val="24"/>
                <w:highlight w:val="none"/>
                <w:lang w:val="en-US" w:eastAsia="zh-CN"/>
              </w:rPr>
              <w:t>0.45</w:t>
            </w:r>
          </w:p>
        </w:tc>
        <w:tc>
          <w:tcPr>
            <w:tcW w:w="2362" w:type="dxa"/>
            <w:noWrap w:val="0"/>
            <w:vAlign w:val="center"/>
          </w:tcPr>
          <w:p w14:paraId="37543105">
            <w:pPr>
              <w:spacing w:line="360" w:lineRule="auto"/>
              <w:jc w:val="center"/>
              <w:rPr>
                <w:rFonts w:hint="default" w:ascii="宋体" w:hAnsi="宋体" w:eastAsia="宋体" w:cs="宋体"/>
                <w:bCs/>
                <w:sz w:val="24"/>
                <w:szCs w:val="24"/>
                <w:highlight w:val="none"/>
                <w:lang w:val="en-US" w:eastAsia="zh-CN"/>
              </w:rPr>
            </w:pPr>
          </w:p>
        </w:tc>
      </w:tr>
      <w:tr w14:paraId="392B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494" w:type="dxa"/>
            <w:noWrap w:val="0"/>
            <w:vAlign w:val="center"/>
          </w:tcPr>
          <w:p w14:paraId="4A3E216B">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7</w:t>
            </w:r>
          </w:p>
        </w:tc>
        <w:tc>
          <w:tcPr>
            <w:tcW w:w="1786" w:type="dxa"/>
            <w:noWrap w:val="0"/>
            <w:vAlign w:val="center"/>
          </w:tcPr>
          <w:p w14:paraId="4FA80077">
            <w:pPr>
              <w:spacing w:line="360" w:lineRule="auto"/>
              <w:jc w:val="center"/>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olor w:val="000000"/>
                <w:kern w:val="0"/>
                <w:sz w:val="24"/>
                <w:szCs w:val="24"/>
                <w:highlight w:val="none"/>
                <w:u w:val="none"/>
                <w:lang w:val="en-US" w:eastAsia="zh-CN" w:bidi="ar"/>
              </w:rPr>
              <w:t>实验室废液</w:t>
            </w:r>
            <w:r>
              <w:rPr>
                <w:rFonts w:hint="eastAsia" w:ascii="宋体" w:hAnsi="宋体" w:cs="宋体"/>
                <w:i w:val="0"/>
                <w:iCs w:val="0"/>
                <w:color w:val="000000"/>
                <w:kern w:val="0"/>
                <w:sz w:val="24"/>
                <w:szCs w:val="24"/>
                <w:highlight w:val="none"/>
                <w:u w:val="none"/>
                <w:lang w:val="en-US" w:eastAsia="zh-CN" w:bidi="ar"/>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实</w:t>
            </w:r>
            <w:r>
              <w:rPr>
                <w:rFonts w:hint="eastAsia" w:ascii="宋体" w:hAnsi="宋体" w:eastAsia="宋体" w:cs="宋体"/>
                <w:i w:val="0"/>
                <w:iCs w:val="0"/>
                <w:color w:val="000000"/>
                <w:kern w:val="0"/>
                <w:sz w:val="24"/>
                <w:szCs w:val="24"/>
                <w:highlight w:val="none"/>
                <w:u w:val="none"/>
                <w:lang w:val="en-US" w:eastAsia="zh-CN" w:bidi="ar"/>
              </w:rPr>
              <w:t>验室废物</w:t>
            </w:r>
            <w:r>
              <w:rPr>
                <w:rFonts w:hint="eastAsia" w:ascii="宋体" w:hAnsi="宋体" w:eastAsia="宋体" w:cs="宋体"/>
                <w:i w:val="0"/>
                <w:iCs w:val="0"/>
                <w:color w:val="FF0000"/>
                <w:kern w:val="0"/>
                <w:sz w:val="24"/>
                <w:szCs w:val="24"/>
                <w:highlight w:val="none"/>
                <w:u w:val="none"/>
                <w:lang w:val="en-US" w:eastAsia="zh-CN" w:bidi="ar"/>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p>
        </w:tc>
        <w:tc>
          <w:tcPr>
            <w:tcW w:w="920" w:type="dxa"/>
            <w:noWrap w:val="0"/>
            <w:vAlign w:val="center"/>
          </w:tcPr>
          <w:p w14:paraId="00034D09">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HW49</w:t>
            </w:r>
          </w:p>
        </w:tc>
        <w:tc>
          <w:tcPr>
            <w:tcW w:w="1454" w:type="dxa"/>
            <w:noWrap w:val="0"/>
            <w:vAlign w:val="center"/>
          </w:tcPr>
          <w:p w14:paraId="2DE6981D">
            <w:pPr>
              <w:spacing w:line="360" w:lineRule="auto"/>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900-047-49</w:t>
            </w:r>
          </w:p>
        </w:tc>
        <w:tc>
          <w:tcPr>
            <w:tcW w:w="2480" w:type="dxa"/>
            <w:noWrap w:val="0"/>
            <w:vAlign w:val="center"/>
          </w:tcPr>
          <w:p w14:paraId="6FDF39AE">
            <w:pPr>
              <w:spacing w:line="360" w:lineRule="auto"/>
              <w:jc w:val="center"/>
              <w:rPr>
                <w:rFonts w:hint="default" w:ascii="宋体" w:hAnsi="宋体" w:eastAsia="宋体" w:cs="宋体"/>
                <w:bCs/>
                <w:sz w:val="24"/>
                <w:szCs w:val="24"/>
                <w:highlight w:val="none"/>
                <w:lang w:val="en-US" w:eastAsia="zh-CN"/>
              </w:rPr>
            </w:pPr>
            <w:r>
              <w:rPr>
                <w:rFonts w:hint="eastAsia" w:ascii="宋体" w:hAnsi="宋体" w:cs="宋体"/>
                <w:bCs/>
                <w:color w:val="auto"/>
                <w:sz w:val="24"/>
                <w:szCs w:val="24"/>
                <w:highlight w:val="none"/>
                <w:lang w:val="en-US" w:eastAsia="zh-CN"/>
              </w:rPr>
              <w:t>0.45</w:t>
            </w:r>
          </w:p>
        </w:tc>
        <w:tc>
          <w:tcPr>
            <w:tcW w:w="2362" w:type="dxa"/>
            <w:noWrap w:val="0"/>
            <w:vAlign w:val="center"/>
          </w:tcPr>
          <w:p w14:paraId="5B66A19C">
            <w:pPr>
              <w:spacing w:line="360" w:lineRule="auto"/>
              <w:jc w:val="center"/>
              <w:rPr>
                <w:rFonts w:hint="default" w:ascii="宋体" w:hAnsi="宋体" w:eastAsia="宋体" w:cs="宋体"/>
                <w:bCs/>
                <w:sz w:val="24"/>
                <w:szCs w:val="24"/>
                <w:highlight w:val="none"/>
                <w:lang w:val="en-US" w:eastAsia="zh-CN"/>
              </w:rPr>
            </w:pPr>
          </w:p>
        </w:tc>
      </w:tr>
    </w:tbl>
    <w:p w14:paraId="34C06635">
      <w:pPr>
        <w:pStyle w:val="2"/>
        <w:rPr>
          <w:rFonts w:hint="eastAsia" w:eastAsia="仿宋_GB2312"/>
          <w:b/>
          <w:bCs/>
          <w:color w:val="FF0000"/>
          <w:sz w:val="28"/>
          <w:szCs w:val="28"/>
          <w:lang w:eastAsia="zh-CN"/>
        </w:rPr>
      </w:pPr>
      <w:r>
        <w:rPr>
          <w:rFonts w:hint="eastAsia"/>
          <w:b/>
          <w:bCs/>
          <w:color w:val="FF0000"/>
          <w:sz w:val="28"/>
          <w:szCs w:val="28"/>
          <w:lang w:eastAsia="zh-CN"/>
        </w:rPr>
        <w:t>注：投标报价为各项处置项目的含税单价。</w:t>
      </w:r>
    </w:p>
    <w:p w14:paraId="71492612">
      <w:pPr>
        <w:pStyle w:val="3"/>
      </w:pPr>
    </w:p>
    <w:p w14:paraId="27B63FF9"/>
    <w:p w14:paraId="35D48EDF">
      <w:pPr>
        <w:pStyle w:val="2"/>
      </w:pPr>
    </w:p>
    <w:p w14:paraId="52C35D67">
      <w:pPr>
        <w:pStyle w:val="3"/>
      </w:pPr>
    </w:p>
    <w:p w14:paraId="48B327BC"/>
    <w:p w14:paraId="2AD858A9">
      <w:pPr>
        <w:pStyle w:val="2"/>
      </w:pPr>
    </w:p>
    <w:p w14:paraId="57350EAE">
      <w:pPr>
        <w:pStyle w:val="3"/>
      </w:pPr>
    </w:p>
    <w:p w14:paraId="11480FF9"/>
    <w:p w14:paraId="09739149">
      <w:pPr>
        <w:pStyle w:val="2"/>
      </w:pPr>
    </w:p>
    <w:p w14:paraId="3BA5CF56">
      <w:pPr>
        <w:pStyle w:val="3"/>
      </w:pPr>
    </w:p>
    <w:p w14:paraId="105EDD96"/>
    <w:p w14:paraId="5BEF511A">
      <w:pPr>
        <w:pStyle w:val="2"/>
      </w:pPr>
    </w:p>
    <w:p w14:paraId="3A8BB40C">
      <w:pPr>
        <w:pStyle w:val="3"/>
      </w:pPr>
    </w:p>
    <w:p w14:paraId="4F83F121">
      <w:pPr>
        <w:pStyle w:val="2"/>
      </w:pPr>
    </w:p>
    <w:p w14:paraId="28FE7CB4">
      <w:pPr>
        <w:pStyle w:val="3"/>
      </w:pPr>
    </w:p>
    <w:p w14:paraId="6ECF9666">
      <w:pPr>
        <w:pStyle w:val="3"/>
        <w:ind w:left="0" w:leftChars="0" w:firstLine="0" w:firstLineChars="0"/>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480A2C"/>
    <w:multiLevelType w:val="multilevel"/>
    <w:tmpl w:val="03480A2C"/>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300" w:firstLine="0"/>
      </w:pPr>
      <w:rPr>
        <w:rFonts w:hint="eastAsia"/>
      </w:rPr>
    </w:lvl>
    <w:lvl w:ilvl="2" w:tentative="0">
      <w:start w:val="1"/>
      <w:numFmt w:val="decimal"/>
      <w:suff w:val="space"/>
      <w:lvlText w:val="%1.%2.%3"/>
      <w:lvlJc w:val="left"/>
      <w:pPr>
        <w:ind w:left="1" w:hanging="1"/>
      </w:pPr>
      <w:rPr>
        <w:rFonts w:hint="eastAsia"/>
      </w:rPr>
    </w:lvl>
    <w:lvl w:ilvl="3" w:tentative="0">
      <w:start w:val="1"/>
      <w:numFmt w:val="decimal"/>
      <w:pStyle w:val="4"/>
      <w:suff w:val="space"/>
      <w:lvlText w:val="%1.%2.%3.%4"/>
      <w:lvlJc w:val="left"/>
      <w:pPr>
        <w:ind w:left="0" w:firstLine="0"/>
      </w:pPr>
      <w:rPr>
        <w:rFonts w:hint="eastAsia"/>
      </w:rPr>
    </w:lvl>
    <w:lvl w:ilvl="4" w:tentative="0">
      <w:start w:val="1"/>
      <w:numFmt w:val="decimal"/>
      <w:pStyle w:val="5"/>
      <w:suff w:val="nothing"/>
      <w:lvlText w:val="%1.%2.%3.%4.%5"/>
      <w:lvlJc w:val="left"/>
      <w:pPr>
        <w:ind w:left="0" w:firstLine="0"/>
      </w:pPr>
      <w:rPr>
        <w:rFonts w:hint="eastAsia"/>
      </w:rPr>
    </w:lvl>
    <w:lvl w:ilvl="5" w:tentative="0">
      <w:start w:val="1"/>
      <w:numFmt w:val="decimal"/>
      <w:suff w:val="nothing"/>
      <w:lvlText w:val="%1.%2.%3.%4.%5.%6"/>
      <w:lvlJc w:val="left"/>
      <w:pPr>
        <w:ind w:left="0" w:firstLine="0"/>
      </w:pPr>
      <w:rPr>
        <w:b w:val="0"/>
        <w:bCs w:val="0"/>
        <w:i w:val="0"/>
        <w:iCs w:val="0"/>
        <w:caps w:val="0"/>
        <w:smallCaps w:val="0"/>
        <w:strike w:val="0"/>
        <w:dstrike w:val="0"/>
        <w:vanish w:val="0"/>
        <w:spacing w:val="0"/>
        <w:position w:val="0"/>
        <w:u w:val="none"/>
        <w:vertAlign w:val="baseline"/>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Zjk4YmZiOTM1MDk3YWFmYzU2ODAxYzEwN2QzMjEifQ=="/>
  </w:docVars>
  <w:rsids>
    <w:rsidRoot w:val="00000000"/>
    <w:rsid w:val="0323019C"/>
    <w:rsid w:val="03C27AE9"/>
    <w:rsid w:val="04AB0032"/>
    <w:rsid w:val="04FA1BE5"/>
    <w:rsid w:val="09BF1E8A"/>
    <w:rsid w:val="0ACE5865"/>
    <w:rsid w:val="0AF3003D"/>
    <w:rsid w:val="0B18646F"/>
    <w:rsid w:val="0B877EBE"/>
    <w:rsid w:val="0D004C93"/>
    <w:rsid w:val="12E34E3B"/>
    <w:rsid w:val="140219CC"/>
    <w:rsid w:val="15F36291"/>
    <w:rsid w:val="17E85929"/>
    <w:rsid w:val="1D4D182F"/>
    <w:rsid w:val="1EE35A0B"/>
    <w:rsid w:val="250E5D48"/>
    <w:rsid w:val="26696682"/>
    <w:rsid w:val="28714A03"/>
    <w:rsid w:val="31A6555A"/>
    <w:rsid w:val="32F81DE5"/>
    <w:rsid w:val="358007E8"/>
    <w:rsid w:val="36EF5067"/>
    <w:rsid w:val="388E3AD9"/>
    <w:rsid w:val="3ACD1DA9"/>
    <w:rsid w:val="403501D5"/>
    <w:rsid w:val="41914F24"/>
    <w:rsid w:val="43BE6FC3"/>
    <w:rsid w:val="462271CD"/>
    <w:rsid w:val="48DD0107"/>
    <w:rsid w:val="48F30C2D"/>
    <w:rsid w:val="4D4F029D"/>
    <w:rsid w:val="4F835492"/>
    <w:rsid w:val="507E1724"/>
    <w:rsid w:val="5272736B"/>
    <w:rsid w:val="55A25EB5"/>
    <w:rsid w:val="5A5D05FC"/>
    <w:rsid w:val="604F4E8B"/>
    <w:rsid w:val="644665A5"/>
    <w:rsid w:val="6477050C"/>
    <w:rsid w:val="64EB65C8"/>
    <w:rsid w:val="6E126C3C"/>
    <w:rsid w:val="74B44E65"/>
    <w:rsid w:val="75825B86"/>
    <w:rsid w:val="78492A32"/>
    <w:rsid w:val="78656BA2"/>
    <w:rsid w:val="79715779"/>
    <w:rsid w:val="7CB94DEA"/>
    <w:rsid w:val="7CF1163C"/>
    <w:rsid w:val="7FEC04EC"/>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color w:val="000000"/>
      <w:kern w:val="2"/>
      <w:sz w:val="24"/>
      <w:lang w:val="en-US" w:eastAsia="zh-CN" w:bidi="ar-SA"/>
    </w:rPr>
  </w:style>
  <w:style w:type="paragraph" w:styleId="4">
    <w:name w:val="heading 4"/>
    <w:basedOn w:val="1"/>
    <w:next w:val="1"/>
    <w:autoRedefine/>
    <w:qFormat/>
    <w:uiPriority w:val="0"/>
    <w:pPr>
      <w:numPr>
        <w:ilvl w:val="3"/>
        <w:numId w:val="1"/>
      </w:numPr>
      <w:outlineLvl w:val="3"/>
    </w:pPr>
    <w:rPr>
      <w:rFonts w:ascii="Arial" w:hAnsi="Arial"/>
      <w:snapToGrid w:val="0"/>
      <w:kern w:val="0"/>
      <w:sz w:val="24"/>
      <w:szCs w:val="20"/>
    </w:rPr>
  </w:style>
  <w:style w:type="paragraph" w:styleId="5">
    <w:name w:val="heading 5"/>
    <w:basedOn w:val="1"/>
    <w:next w:val="1"/>
    <w:autoRedefine/>
    <w:qFormat/>
    <w:uiPriority w:val="0"/>
    <w:pPr>
      <w:numPr>
        <w:ilvl w:val="4"/>
        <w:numId w:val="1"/>
      </w:numPr>
      <w:outlineLvl w:val="4"/>
    </w:pPr>
    <w:rPr>
      <w:rFonts w:ascii="Arial" w:hAnsi="Arial"/>
      <w:sz w:val="24"/>
      <w:szCs w:val="20"/>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8280"/>
      </w:tabs>
      <w:spacing w:line="360" w:lineRule="auto"/>
      <w:ind w:right="-1"/>
    </w:pPr>
    <w:rPr>
      <w:rFonts w:ascii="仿宋_GB2312" w:eastAsia="仿宋_GB2312"/>
      <w:sz w:val="24"/>
    </w:rPr>
  </w:style>
  <w:style w:type="paragraph" w:customStyle="1" w:styleId="3">
    <w:name w:val="_Style 2"/>
    <w:basedOn w:val="1"/>
    <w:next w:val="1"/>
    <w:qFormat/>
    <w:uiPriority w:val="0"/>
    <w:pPr>
      <w:ind w:firstLine="420" w:firstLineChars="200"/>
    </w:pPr>
  </w:style>
  <w:style w:type="paragraph" w:styleId="6">
    <w:name w:val="Normal Indent"/>
    <w:basedOn w:val="1"/>
    <w:next w:val="7"/>
    <w:autoRedefine/>
    <w:qFormat/>
    <w:uiPriority w:val="0"/>
    <w:pPr>
      <w:widowControl/>
      <w:ind w:firstLine="420"/>
      <w:jc w:val="left"/>
    </w:pPr>
    <w:rPr>
      <w:kern w:val="0"/>
      <w:sz w:val="20"/>
      <w:szCs w:val="20"/>
    </w:rPr>
  </w:style>
  <w:style w:type="paragraph" w:customStyle="1" w:styleId="7">
    <w:name w:val="样式 正文文本 + 首行缩进:  2 字符"/>
    <w:autoRedefine/>
    <w:qFormat/>
    <w:uiPriority w:val="99"/>
    <w:pPr>
      <w:spacing w:after="200" w:line="480" w:lineRule="exact"/>
      <w:ind w:firstLine="480" w:firstLineChars="200"/>
    </w:pPr>
    <w:rPr>
      <w:rFonts w:ascii="Times New Roman" w:hAnsi="Times New Roman" w:eastAsia="微软雅黑" w:cs="Times New Roman"/>
      <w:sz w:val="24"/>
      <w:szCs w:val="22"/>
      <w:lang w:val="en-US" w:eastAsia="zh-CN" w:bidi="ar-SA"/>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List Paragraph"/>
    <w:basedOn w:val="1"/>
    <w:autoRedefine/>
    <w:qFormat/>
    <w:uiPriority w:val="99"/>
    <w:pPr>
      <w:ind w:firstLine="420" w:firstLineChars="200"/>
    </w:pPr>
  </w:style>
  <w:style w:type="paragraph" w:customStyle="1" w:styleId="13">
    <w:name w:val="表格"/>
    <w:basedOn w:val="1"/>
    <w:next w:val="1"/>
    <w:autoRedefine/>
    <w:qFormat/>
    <w:uiPriority w:val="0"/>
    <w:pPr>
      <w:adjustRightInd w:val="0"/>
      <w:snapToGrid w:val="0"/>
      <w:jc w:val="center"/>
      <w:textAlignment w:val="baseline"/>
    </w:pPr>
    <w:rPr>
      <w:rFonts w:ascii="宋体"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769</Words>
  <Characters>1118</Characters>
  <Lines>0</Lines>
  <Paragraphs>0</Paragraphs>
  <TotalTime>6</TotalTime>
  <ScaleCrop>false</ScaleCrop>
  <LinksUpToDate>false</LinksUpToDate>
  <CharactersWithSpaces>1126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2024-05-09T07:00:00Z</dcterms:created>
  <dc:creator>Administrator</dc:creator>
  <cp:lastModifiedBy>ʚ来个淇淇</cp:lastModifiedBy>
  <cp:lastPrinted>2026-07-17T02:03:00Z</cp:lastPrinted>
  <dcterms:modified xsi:type="dcterms:W3CDTF">2026-08-10T07:24:31Z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663D882EDF434BA283486745090BEE8A_12</vt:lpwstr>
  </property>
  <property fmtid="{D5CDD505-2E9C-101B-9397-08002B2CF9AE}" pid="4" name="KSOTemplateDocerSaveRecord">
    <vt:lpwstr>eyJoZGlkIjoiY2I3NDEyOTllYTc2YjQ2NDVlZGRjYzY1N2I0MmUxMTYiLCJ1c2VySWQiOiIxMjU4MDE0MjkwIn0=</vt:lpwstr>
  </property>
</Properties>
</file>